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75" w:rsidRDefault="00574639">
      <w:pPr>
        <w:rPr>
          <w:rFonts w:ascii="Times New Roman" w:hAnsi="Times New Roman" w:cs="Times New Roman"/>
          <w:b/>
          <w:sz w:val="28"/>
          <w:szCs w:val="28"/>
        </w:rPr>
      </w:pPr>
      <w:r w:rsidRPr="00574639">
        <w:rPr>
          <w:rFonts w:ascii="Times New Roman" w:hAnsi="Times New Roman" w:cs="Times New Roman"/>
          <w:b/>
          <w:sz w:val="28"/>
          <w:szCs w:val="28"/>
        </w:rPr>
        <w:t>Об опасности обращения в негосударственные и нелицензированные учреждения (реабилитационные центры), занимающиеся лечением наркомании и реабилитацией лиц, прошедших лечение от наркомании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4639" w:rsidRPr="005A47DA" w:rsidRDefault="00574639" w:rsidP="00574639">
      <w:pPr>
        <w:jc w:val="both"/>
        <w:rPr>
          <w:rFonts w:ascii="Times New Roman" w:hAnsi="Times New Roman" w:cs="Times New Roman"/>
          <w:sz w:val="24"/>
          <w:szCs w:val="24"/>
        </w:rPr>
      </w:pPr>
      <w:r w:rsidRPr="005A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ряде негосударственных реабилитационных центров санитарно-гигиенические условия проживания и осуществления реабилитации соответствуют минимальным требованиям, необходимым для обеспечения полноценных условий жизнедеятельности. Одной из главных проблем подобных центров является отсутствие системы оказания медицинской помощи. Зачастую процесс </w:t>
      </w:r>
      <w:proofErr w:type="spellStart"/>
      <w:r w:rsidRPr="005A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детоксикации</w:t>
      </w:r>
      <w:proofErr w:type="spellEnd"/>
      <w:r w:rsidRPr="005A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протекает без медицинского сопровождения, что может привести к обострению ряда хронических заболеваний. Отсутствие в штате негосударственных центров медицинского работника или договора с медицинской организацией не позволяет вести систематический медицинский контроль за состоянием здоровья реабилитируемых лиц. В большинстве негосударственных реабилитационных центров не проводится медицинское обследование перед поступлением в реабилитационный центр. Среди главных недостатков работы негосударственных реабилитационных центров также отмечено отсутствие научно и методически обоснованных программ реабилитации, слабое методическое обеспечение социально-психологических технологий, а в некоторых случаях ‒ невыполнение заявленных в программе мероприятий и направлений деятельности. Не менее существенной проблемой является слабое психологическое и психотерапевтическое сопровождение реабилитационного процесса. Психологическую помощь оказывают лица, прошедшие курс реабилитации и имеющие длительный опыт ремиссии, которая основывается на интуитивных житейских психологических знаниях и не имеет научно-методической основы. Но основной и главной проблемой подобных многочисленных центров является невозможность оценить эффективность работы негосударственных реабилитационных центров, т.е. качество реабилитации и </w:t>
      </w:r>
      <w:proofErr w:type="spellStart"/>
      <w:r w:rsidRPr="005A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ресоциализации</w:t>
      </w:r>
      <w:proofErr w:type="spellEnd"/>
      <w:r w:rsidRPr="005A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пациентов, продолжительность ремиссии из-за отсутствия системы учета ремиссии лиц, проходящих реабилитацию в негосударственных реабилитационных центрах. Источник: </w:t>
      </w:r>
      <w:hyperlink r:id="rId4" w:history="1">
        <w:r w:rsidRPr="005A47DA">
          <w:rPr>
            <w:rStyle w:val="a3"/>
            <w:rFonts w:ascii="Times New Roman" w:hAnsi="Times New Roman" w:cs="Times New Roman"/>
            <w:color w:val="024C8B"/>
            <w:sz w:val="24"/>
            <w:szCs w:val="24"/>
          </w:rPr>
          <w:t>https://fundamental-research.ru/ru/article/view?id=36516</w:t>
        </w:r>
      </w:hyperlink>
    </w:p>
    <w:p w:rsidR="00A05D20" w:rsidRDefault="00A05D20" w:rsidP="00A05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ОБРАЩАЙТЕСЬ ЗА ПОМОЩЬЮ В ГОСУДАРСТВЕННЫЕ СПЕЦИАЛИЗИРОВАННЫЕ УЧРЕЖДЕНИЯ!</w:t>
      </w:r>
    </w:p>
    <w:p w:rsidR="00E01F42" w:rsidRDefault="00E01F42" w:rsidP="00A05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D20" w:rsidRDefault="00A05D20" w:rsidP="00A05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5D20" w:rsidRPr="00AD4D00" w:rsidRDefault="00AD4D00" w:rsidP="00A05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D00">
        <w:rPr>
          <w:rFonts w:ascii="Times New Roman" w:hAnsi="Times New Roman" w:cs="Times New Roman"/>
          <w:b/>
          <w:sz w:val="24"/>
          <w:szCs w:val="24"/>
        </w:rPr>
        <w:t>ДЕТСКИЙ НАРКОЛОГИЧЕСКИЙ ЦЕНТР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города Москвы "Московский научно-практический центр наркологии Департамента здравоохранения города Москвы" Детский наркологический центр (филиал)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 xml:space="preserve">Зав. филиалом: </w:t>
      </w:r>
      <w:proofErr w:type="spellStart"/>
      <w:r w:rsidRPr="00A05D20">
        <w:rPr>
          <w:rFonts w:ascii="Times New Roman" w:hAnsi="Times New Roman" w:cs="Times New Roman"/>
          <w:sz w:val="24"/>
          <w:szCs w:val="24"/>
        </w:rPr>
        <w:t>Брюн</w:t>
      </w:r>
      <w:proofErr w:type="spellEnd"/>
      <w:r w:rsidRPr="00A05D20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Регистратура: +7 (499) 245-03-85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По вопросам госпитализации: +7 (499) 132-88-32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Факс: +7 (499) 134-33-50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A05D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05D20">
        <w:rPr>
          <w:rFonts w:ascii="Times New Roman" w:hAnsi="Times New Roman" w:cs="Times New Roman"/>
          <w:sz w:val="24"/>
          <w:szCs w:val="24"/>
        </w:rPr>
        <w:t>: filial_dnc@narcologos.ru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Режим работы: рабочие дни с 8:00 до 20:00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суббота с 9:00 до 16:00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воскресенье – выходной.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Стационар: круглосуточно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Адрес: 119313, г. Москва, Ленинский проспект, д. 89А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lastRenderedPageBreak/>
        <w:t>Ближайшие ТПУ: станция метро "Новые Черемушки" (~1500 метров), станция метро "Университет" (~2200 метров)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D00" w:rsidRPr="00AD4D00" w:rsidRDefault="00AD4D00" w:rsidP="00A05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D00">
        <w:rPr>
          <w:rFonts w:ascii="Times New Roman" w:hAnsi="Times New Roman" w:cs="Times New Roman"/>
          <w:b/>
          <w:sz w:val="24"/>
          <w:szCs w:val="24"/>
        </w:rPr>
        <w:t>ЦЕНТР ПРОФИЛАКТИКИ ЗАВИСИМОГО ПОВЕДЕНИЯ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города Москвы "Московский научно-практический центр наркологии Департамента здравоохранения города Москвы" Центр профилактики зависимого поведения (филиал)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Зав. филиалом: Деменко Елена Геннадьевна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Тел.: +7 (499) 150-06-64, +7 (499) 150-15-71, +7 (499) 150-93-32, +7 (499) 150-21-65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A05D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05D20">
        <w:rPr>
          <w:rFonts w:ascii="Times New Roman" w:hAnsi="Times New Roman" w:cs="Times New Roman"/>
          <w:sz w:val="24"/>
          <w:szCs w:val="24"/>
        </w:rPr>
        <w:t>: mnpcnp@mail.ru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Адрес: 125171, г. Москва, ул. 3. и А. Космодемьянских, д. 6</w:t>
      </w:r>
    </w:p>
    <w:p w:rsidR="00A05D20" w:rsidRPr="00A05D20" w:rsidRDefault="00A05D20" w:rsidP="00A05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20">
        <w:rPr>
          <w:rFonts w:ascii="Times New Roman" w:hAnsi="Times New Roman" w:cs="Times New Roman"/>
          <w:sz w:val="24"/>
          <w:szCs w:val="24"/>
        </w:rPr>
        <w:t>Ближайшие ТПУ: станция метро "</w:t>
      </w:r>
      <w:proofErr w:type="spellStart"/>
      <w:r w:rsidRPr="00A05D20">
        <w:rPr>
          <w:rFonts w:ascii="Times New Roman" w:hAnsi="Times New Roman" w:cs="Times New Roman"/>
          <w:sz w:val="24"/>
          <w:szCs w:val="24"/>
        </w:rPr>
        <w:t>Войковская</w:t>
      </w:r>
      <w:proofErr w:type="spellEnd"/>
      <w:r w:rsidRPr="00A05D20">
        <w:rPr>
          <w:rFonts w:ascii="Times New Roman" w:hAnsi="Times New Roman" w:cs="Times New Roman"/>
          <w:sz w:val="24"/>
          <w:szCs w:val="24"/>
        </w:rPr>
        <w:t>" (~450 метров), станция МЦК "Балтийская</w:t>
      </w:r>
      <w:r w:rsidRPr="00A05D20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A05D20">
        <w:rPr>
          <w:rFonts w:ascii="Times New Roman" w:hAnsi="Times New Roman" w:cs="Times New Roman"/>
          <w:sz w:val="24"/>
          <w:szCs w:val="24"/>
        </w:rPr>
        <w:t>(~1100 метров)</w:t>
      </w:r>
    </w:p>
    <w:sectPr w:rsidR="00A05D20" w:rsidRPr="00A0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39"/>
    <w:rsid w:val="00574639"/>
    <w:rsid w:val="005A47DA"/>
    <w:rsid w:val="00A05D20"/>
    <w:rsid w:val="00AD4D00"/>
    <w:rsid w:val="00E01F42"/>
    <w:rsid w:val="00E3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699D"/>
  <w15:chartTrackingRefBased/>
  <w15:docId w15:val="{A1F70CA9-1CC2-4A8C-9C88-CE58B2C6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2020-08-24T14:38:00Z</dcterms:created>
  <dcterms:modified xsi:type="dcterms:W3CDTF">2020-08-24T14:44:00Z</dcterms:modified>
</cp:coreProperties>
</file>